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0D58" w14:textId="389FB0CF" w:rsidR="00EA65EF" w:rsidRPr="00EA65EF" w:rsidRDefault="00EA65EF" w:rsidP="00EA65EF">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EA65EF">
        <w:rPr>
          <w:rFonts w:ascii="Verdana" w:eastAsia="Times New Roman" w:hAnsi="Verdana" w:cs="Times New Roman"/>
          <w:color w:val="CC3300"/>
          <w:kern w:val="36"/>
          <w:sz w:val="36"/>
          <w:szCs w:val="36"/>
          <w:lang w:eastAsia="fr-BE"/>
        </w:rPr>
        <w:t>Déchets &amp; seconde fusion</w:t>
      </w:r>
      <w:r>
        <w:rPr>
          <w:rFonts w:ascii="Verdana" w:eastAsia="Times New Roman" w:hAnsi="Verdana" w:cs="Times New Roman"/>
          <w:color w:val="CC3300"/>
          <w:kern w:val="36"/>
          <w:sz w:val="36"/>
          <w:szCs w:val="36"/>
          <w:lang w:eastAsia="fr-BE"/>
        </w:rPr>
        <w:t>,</w:t>
      </w:r>
      <w:r w:rsidRPr="00EA65EF">
        <w:rPr>
          <w:rFonts w:ascii="Verdana" w:eastAsia="Times New Roman" w:hAnsi="Verdana" w:cs="Times New Roman"/>
          <w:color w:val="CC3300"/>
          <w:kern w:val="36"/>
          <w:sz w:val="36"/>
          <w:szCs w:val="36"/>
          <w:lang w:eastAsia="fr-BE"/>
        </w:rPr>
        <w:t xml:space="preserve"> le cuivre crée la surprise</w:t>
      </w:r>
    </w:p>
    <w:p w14:paraId="40B995B4" w14:textId="77777777" w:rsidR="00EA65EF" w:rsidRDefault="00EA65EF" w:rsidP="00EA65EF">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6A8764A4" w14:textId="2BAA5632"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b/>
          <w:bCs/>
          <w:color w:val="000000"/>
          <w:sz w:val="23"/>
          <w:szCs w:val="23"/>
          <w:lang w:eastAsia="fr-BE"/>
        </w:rPr>
        <w:t>La semaine a démarré sur les chapeaux de roues sur le marché des métaux secondaires après que le cuivre a été propulsé sur des sommets à Londres et que certains analystes considèrent qu’il ne s’agit que d’une étape. Las, la collecte peine à décoller, notent la plupart des observateurs, tandis que les consommateurs rechignent à payer des prix qu’ils ont de plus en plus de mal à répercuter.</w:t>
      </w:r>
    </w:p>
    <w:p w14:paraId="672CCB02"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On le voyait mal parti… mais il a déjoué tous les pronostics : le </w:t>
      </w:r>
      <w:r w:rsidRPr="00EA65EF">
        <w:rPr>
          <w:rFonts w:ascii="Verdana" w:eastAsia="Times New Roman" w:hAnsi="Verdana" w:cs="Times New Roman"/>
          <w:color w:val="000000"/>
          <w:sz w:val="23"/>
          <w:szCs w:val="23"/>
          <w:u w:val="single"/>
          <w:lang w:eastAsia="fr-BE"/>
        </w:rPr>
        <w:t>cuivre</w:t>
      </w:r>
      <w:r w:rsidRPr="00EA65EF">
        <w:rPr>
          <w:rFonts w:ascii="Verdana" w:eastAsia="Times New Roman" w:hAnsi="Verdana" w:cs="Times New Roman"/>
          <w:color w:val="000000"/>
          <w:sz w:val="23"/>
          <w:szCs w:val="23"/>
          <w:lang w:eastAsia="fr-BE"/>
        </w:rPr>
        <w:t> a en effet connu l’un des formidables retournements de situation dont il a le secret. Tombé sous la barre des 7300 euros en milieu de semaine dernière, le ‘roi des métaux’ s’est brutalement redressé à la faveur de tensions sur les disponibilités, revenant ainsi à plus de 7800 euros au début de cette semaine-ci. Cette nervosité du métal rouge se reflète bien évidemment sur le marché des déchets où, là-aussi, on constate des tensions sur les disponibilités. «</w:t>
      </w:r>
      <w:r w:rsidRPr="00EA65EF">
        <w:rPr>
          <w:rFonts w:ascii="Verdana" w:eastAsia="Times New Roman" w:hAnsi="Verdana" w:cs="Times New Roman"/>
          <w:i/>
          <w:iCs/>
          <w:color w:val="000000"/>
          <w:sz w:val="23"/>
          <w:szCs w:val="23"/>
          <w:lang w:eastAsia="fr-BE"/>
        </w:rPr>
        <w:t> C’est inhabituel. On constate une bonne collecte en ferrailles, mais pas en vieux métaux</w:t>
      </w:r>
      <w:r w:rsidRPr="00EA65EF">
        <w:rPr>
          <w:rFonts w:ascii="Verdana" w:eastAsia="Times New Roman" w:hAnsi="Verdana" w:cs="Times New Roman"/>
          <w:color w:val="000000"/>
          <w:sz w:val="23"/>
          <w:szCs w:val="23"/>
          <w:lang w:eastAsia="fr-BE"/>
        </w:rPr>
        <w:t> », confirme un marchand français. Dans ces conditions, les usines consommatrices se montrent d’autant moins avides de faire pression sur les décotes que la demande à la grande exportation reste très ferme. « </w:t>
      </w:r>
      <w:r w:rsidRPr="00EA65EF">
        <w:rPr>
          <w:rFonts w:ascii="Verdana" w:eastAsia="Times New Roman" w:hAnsi="Verdana" w:cs="Times New Roman"/>
          <w:i/>
          <w:iCs/>
          <w:color w:val="000000"/>
          <w:sz w:val="23"/>
          <w:szCs w:val="23"/>
          <w:lang w:eastAsia="fr-BE"/>
        </w:rPr>
        <w:t xml:space="preserve">Les raffineurs européens voient les tonnages de cuivre mêlés se réduire d’année </w:t>
      </w:r>
      <w:proofErr w:type="gramStart"/>
      <w:r w:rsidRPr="00EA65EF">
        <w:rPr>
          <w:rFonts w:ascii="Verdana" w:eastAsia="Times New Roman" w:hAnsi="Verdana" w:cs="Times New Roman"/>
          <w:i/>
          <w:iCs/>
          <w:color w:val="000000"/>
          <w:sz w:val="23"/>
          <w:szCs w:val="23"/>
          <w:lang w:eastAsia="fr-BE"/>
        </w:rPr>
        <w:t>en</w:t>
      </w:r>
      <w:proofErr w:type="gramEnd"/>
      <w:r w:rsidRPr="00EA65EF">
        <w:rPr>
          <w:rFonts w:ascii="Verdana" w:eastAsia="Times New Roman" w:hAnsi="Verdana" w:cs="Times New Roman"/>
          <w:i/>
          <w:iCs/>
          <w:color w:val="000000"/>
          <w:sz w:val="23"/>
          <w:szCs w:val="23"/>
          <w:lang w:eastAsia="fr-BE"/>
        </w:rPr>
        <w:t xml:space="preserve"> année et il est certain qu’ils ne retrouveront pas l’équivalent en grenailles s’ils ne mettent pas le prix puisque ces dernières sont prisées par les Asiatiques </w:t>
      </w:r>
      <w:r w:rsidRPr="00EA65EF">
        <w:rPr>
          <w:rFonts w:ascii="Verdana" w:eastAsia="Times New Roman" w:hAnsi="Verdana" w:cs="Times New Roman"/>
          <w:color w:val="000000"/>
          <w:sz w:val="23"/>
          <w:szCs w:val="23"/>
          <w:lang w:eastAsia="fr-BE"/>
        </w:rPr>
        <w:t xml:space="preserve">», prévient un observateur. Sur la base d’un </w:t>
      </w:r>
      <w:proofErr w:type="spellStart"/>
      <w:r w:rsidRPr="00EA65EF">
        <w:rPr>
          <w:rFonts w:ascii="Verdana" w:eastAsia="Times New Roman" w:hAnsi="Verdana" w:cs="Times New Roman"/>
          <w:color w:val="000000"/>
          <w:sz w:val="23"/>
          <w:szCs w:val="23"/>
          <w:lang w:eastAsia="fr-BE"/>
        </w:rPr>
        <w:t>lowest</w:t>
      </w:r>
      <w:proofErr w:type="spellEnd"/>
      <w:r w:rsidRPr="00EA65EF">
        <w:rPr>
          <w:rFonts w:ascii="Verdana" w:eastAsia="Times New Roman" w:hAnsi="Verdana" w:cs="Times New Roman"/>
          <w:color w:val="000000"/>
          <w:sz w:val="23"/>
          <w:szCs w:val="23"/>
          <w:lang w:eastAsia="fr-BE"/>
        </w:rPr>
        <w:t xml:space="preserve"> à 7850 euros, le </w:t>
      </w:r>
      <w:r w:rsidRPr="00EA65EF">
        <w:rPr>
          <w:rFonts w:ascii="Verdana" w:eastAsia="Times New Roman" w:hAnsi="Verdana" w:cs="Times New Roman"/>
          <w:color w:val="000000"/>
          <w:sz w:val="23"/>
          <w:szCs w:val="23"/>
          <w:u w:val="single"/>
          <w:lang w:eastAsia="fr-BE"/>
        </w:rPr>
        <w:t>cuivre mêlé</w:t>
      </w:r>
      <w:r w:rsidRPr="00EA65EF">
        <w:rPr>
          <w:rFonts w:ascii="Verdana" w:eastAsia="Times New Roman" w:hAnsi="Verdana" w:cs="Times New Roman"/>
          <w:color w:val="000000"/>
          <w:sz w:val="23"/>
          <w:szCs w:val="23"/>
          <w:lang w:eastAsia="fr-BE"/>
        </w:rPr>
        <w:t> vaut 6600 euros départ, la </w:t>
      </w:r>
      <w:r w:rsidRPr="00EA65EF">
        <w:rPr>
          <w:rFonts w:ascii="Verdana" w:eastAsia="Times New Roman" w:hAnsi="Verdana" w:cs="Times New Roman"/>
          <w:color w:val="000000"/>
          <w:sz w:val="23"/>
          <w:szCs w:val="23"/>
          <w:u w:val="single"/>
          <w:lang w:eastAsia="fr-BE"/>
        </w:rPr>
        <w:t>grenaille N°2</w:t>
      </w:r>
      <w:r w:rsidRPr="00EA65EF">
        <w:rPr>
          <w:rFonts w:ascii="Verdana" w:eastAsia="Times New Roman" w:hAnsi="Verdana" w:cs="Times New Roman"/>
          <w:color w:val="000000"/>
          <w:sz w:val="23"/>
          <w:szCs w:val="23"/>
          <w:lang w:eastAsia="fr-BE"/>
        </w:rPr>
        <w:t> plus de 7000 et le </w:t>
      </w:r>
      <w:proofErr w:type="spellStart"/>
      <w:r w:rsidRPr="00EA65EF">
        <w:rPr>
          <w:rFonts w:ascii="Verdana" w:eastAsia="Times New Roman" w:hAnsi="Verdana" w:cs="Times New Roman"/>
          <w:color w:val="000000"/>
          <w:sz w:val="23"/>
          <w:szCs w:val="23"/>
          <w:u w:val="single"/>
          <w:lang w:eastAsia="fr-BE"/>
        </w:rPr>
        <w:t>Milberry</w:t>
      </w:r>
      <w:proofErr w:type="spellEnd"/>
      <w:r w:rsidRPr="00EA65EF">
        <w:rPr>
          <w:rFonts w:ascii="Verdana" w:eastAsia="Times New Roman" w:hAnsi="Verdana" w:cs="Times New Roman"/>
          <w:color w:val="000000"/>
          <w:sz w:val="23"/>
          <w:szCs w:val="23"/>
          <w:lang w:eastAsia="fr-BE"/>
        </w:rPr>
        <w:t> près de 7500 ! Le </w:t>
      </w:r>
      <w:r w:rsidRPr="00EA65EF">
        <w:rPr>
          <w:rFonts w:ascii="Verdana" w:eastAsia="Times New Roman" w:hAnsi="Verdana" w:cs="Times New Roman"/>
          <w:color w:val="000000"/>
          <w:sz w:val="23"/>
          <w:szCs w:val="23"/>
          <w:u w:val="single"/>
          <w:lang w:eastAsia="fr-BE"/>
        </w:rPr>
        <w:t>laiton mêlé</w:t>
      </w:r>
      <w:r w:rsidRPr="00EA65EF">
        <w:rPr>
          <w:rFonts w:ascii="Verdana" w:eastAsia="Times New Roman" w:hAnsi="Verdana" w:cs="Times New Roman"/>
          <w:color w:val="000000"/>
          <w:sz w:val="23"/>
          <w:szCs w:val="23"/>
          <w:lang w:eastAsia="fr-BE"/>
        </w:rPr>
        <w:t> est toujours à la traîne. Il se négocie largement au-dessus des 4000 euros à l’exportation.</w:t>
      </w:r>
    </w:p>
    <w:p w14:paraId="3C74E6FD"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 </w:t>
      </w:r>
    </w:p>
    <w:p w14:paraId="6BCE5AE3"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b/>
          <w:bCs/>
          <w:color w:val="A52A2A"/>
          <w:sz w:val="23"/>
          <w:szCs w:val="23"/>
          <w:lang w:eastAsia="fr-BE"/>
        </w:rPr>
        <w:t>Aluminium : le lingot décroche malgré un secteur automobile qui se redresse</w:t>
      </w:r>
    </w:p>
    <w:p w14:paraId="6681B4A4"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Nouvel accès de faiblesse pour la cotation du </w:t>
      </w:r>
      <w:r w:rsidRPr="00EA65EF">
        <w:rPr>
          <w:rFonts w:ascii="Verdana" w:eastAsia="Times New Roman" w:hAnsi="Verdana" w:cs="Times New Roman"/>
          <w:color w:val="000000"/>
          <w:sz w:val="23"/>
          <w:szCs w:val="23"/>
          <w:u w:val="single"/>
          <w:lang w:eastAsia="fr-BE"/>
        </w:rPr>
        <w:t>DIN226</w:t>
      </w:r>
      <w:r w:rsidRPr="00EA65EF">
        <w:rPr>
          <w:rFonts w:ascii="Verdana" w:eastAsia="Times New Roman" w:hAnsi="Verdana" w:cs="Times New Roman"/>
          <w:color w:val="000000"/>
          <w:sz w:val="23"/>
          <w:szCs w:val="23"/>
          <w:lang w:eastAsia="fr-BE"/>
        </w:rPr>
        <w:t> qui abandonne 30/40 euros en l’espace d’une semaine, à 1870/1930 euros. Il faut remonter à mi-décembre 2020 pour retrouver un niveau aussi bas. La cotation </w:t>
      </w:r>
      <w:r w:rsidRPr="00EA65EF">
        <w:rPr>
          <w:rFonts w:ascii="Verdana" w:eastAsia="Times New Roman" w:hAnsi="Verdana" w:cs="Times New Roman"/>
          <w:color w:val="000000"/>
          <w:sz w:val="23"/>
          <w:szCs w:val="23"/>
          <w:u w:val="single"/>
          <w:lang w:eastAsia="fr-BE"/>
        </w:rPr>
        <w:t>AS9U3</w:t>
      </w:r>
      <w:r w:rsidRPr="00EA65EF">
        <w:rPr>
          <w:rFonts w:ascii="Verdana" w:eastAsia="Times New Roman" w:hAnsi="Verdana" w:cs="Times New Roman"/>
          <w:color w:val="000000"/>
          <w:sz w:val="23"/>
          <w:szCs w:val="23"/>
          <w:lang w:eastAsia="fr-BE"/>
        </w:rPr>
        <w:t> publiée par </w:t>
      </w:r>
      <w:r w:rsidRPr="00EA65EF">
        <w:rPr>
          <w:rFonts w:ascii="Verdana" w:eastAsia="Times New Roman" w:hAnsi="Verdana" w:cs="Times New Roman"/>
          <w:i/>
          <w:iCs/>
          <w:color w:val="000000"/>
          <w:sz w:val="23"/>
          <w:szCs w:val="23"/>
          <w:lang w:eastAsia="fr-BE"/>
        </w:rPr>
        <w:t>La Tribune des Métaux</w:t>
      </w:r>
      <w:r w:rsidRPr="00EA65EF">
        <w:rPr>
          <w:rFonts w:ascii="Verdana" w:eastAsia="Times New Roman" w:hAnsi="Verdana" w:cs="Times New Roman"/>
          <w:color w:val="000000"/>
          <w:sz w:val="23"/>
          <w:szCs w:val="23"/>
          <w:lang w:eastAsia="fr-BE"/>
        </w:rPr>
        <w:t> est également en baisse, à 1830/1900 euros. Comme la semaine dernière, c’est surtout l’absence des marchés export, et notamment asiatiques, qui pèse sur le marché européen des lingots de seconde fusion. Les Asiatiques sont en effet largement couverts, confirment la plupart des observateurs. Les Européens n’ont donc plus qu’à espérer un rebond de la consommation sur le Vieux Continent. Ceux-là peuvent s’accrocher à une lueur d’espoir avec l’envolée des immatriculations au sein de l’UE où les ventes ont augmenté de 62,7 %, à 1,387 million de véhicules vendus en mars 2021 — une progression à relativiser si l’on considère qu’en mars 2019, 1,7 million de voitures avaient trouvé preneurs.</w:t>
      </w:r>
    </w:p>
    <w:p w14:paraId="18FBF34A"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Côté déchets, la baisse du </w:t>
      </w:r>
      <w:r w:rsidRPr="00EA65EF">
        <w:rPr>
          <w:rFonts w:ascii="Verdana" w:eastAsia="Times New Roman" w:hAnsi="Verdana" w:cs="Times New Roman"/>
          <w:color w:val="000000"/>
          <w:sz w:val="23"/>
          <w:szCs w:val="23"/>
          <w:u w:val="single"/>
          <w:lang w:eastAsia="fr-BE"/>
        </w:rPr>
        <w:t>DIN</w:t>
      </w:r>
      <w:r w:rsidRPr="00EA65EF">
        <w:rPr>
          <w:rFonts w:ascii="Verdana" w:eastAsia="Times New Roman" w:hAnsi="Verdana" w:cs="Times New Roman"/>
          <w:color w:val="000000"/>
          <w:sz w:val="23"/>
          <w:szCs w:val="23"/>
          <w:lang w:eastAsia="fr-BE"/>
        </w:rPr>
        <w:t xml:space="preserve"> n’a pas vraiment d’impact sur </w:t>
      </w:r>
      <w:proofErr w:type="gramStart"/>
      <w:r w:rsidRPr="00EA65EF">
        <w:rPr>
          <w:rFonts w:ascii="Verdana" w:eastAsia="Times New Roman" w:hAnsi="Verdana" w:cs="Times New Roman"/>
          <w:color w:val="000000"/>
          <w:sz w:val="23"/>
          <w:szCs w:val="23"/>
          <w:lang w:eastAsia="fr-BE"/>
        </w:rPr>
        <w:t>les </w:t>
      </w:r>
      <w:r w:rsidRPr="00EA65EF">
        <w:rPr>
          <w:rFonts w:ascii="Verdana" w:eastAsia="Times New Roman" w:hAnsi="Verdana" w:cs="Times New Roman"/>
          <w:color w:val="000000"/>
          <w:sz w:val="23"/>
          <w:szCs w:val="23"/>
          <w:u w:val="single"/>
          <w:lang w:eastAsia="fr-BE"/>
        </w:rPr>
        <w:t>aluminium enfournés</w:t>
      </w:r>
      <w:proofErr w:type="gramEnd"/>
      <w:r w:rsidRPr="00EA65EF">
        <w:rPr>
          <w:rFonts w:ascii="Verdana" w:eastAsia="Times New Roman" w:hAnsi="Verdana" w:cs="Times New Roman"/>
          <w:color w:val="000000"/>
          <w:sz w:val="23"/>
          <w:szCs w:val="23"/>
          <w:u w:val="single"/>
          <w:lang w:eastAsia="fr-BE"/>
        </w:rPr>
        <w:t xml:space="preserve"> à l’affinage</w:t>
      </w:r>
      <w:r w:rsidRPr="00EA65EF">
        <w:rPr>
          <w:rFonts w:ascii="Verdana" w:eastAsia="Times New Roman" w:hAnsi="Verdana" w:cs="Times New Roman"/>
          <w:color w:val="000000"/>
          <w:sz w:val="23"/>
          <w:szCs w:val="23"/>
          <w:lang w:eastAsia="fr-BE"/>
        </w:rPr>
        <w:t>. Le </w:t>
      </w:r>
      <w:r w:rsidRPr="00EA65EF">
        <w:rPr>
          <w:rFonts w:ascii="Verdana" w:eastAsia="Times New Roman" w:hAnsi="Verdana" w:cs="Times New Roman"/>
          <w:color w:val="000000"/>
          <w:sz w:val="23"/>
          <w:szCs w:val="23"/>
          <w:u w:val="single"/>
          <w:lang w:eastAsia="fr-BE"/>
        </w:rPr>
        <w:t>carter ordinaire</w:t>
      </w:r>
      <w:r w:rsidRPr="00EA65EF">
        <w:rPr>
          <w:rFonts w:ascii="Verdana" w:eastAsia="Times New Roman" w:hAnsi="Verdana" w:cs="Times New Roman"/>
          <w:color w:val="000000"/>
          <w:sz w:val="23"/>
          <w:szCs w:val="23"/>
          <w:lang w:eastAsia="fr-BE"/>
        </w:rPr>
        <w:t> se maintient entre 950 et 1050 euros, tandis que la </w:t>
      </w:r>
      <w:r w:rsidRPr="00EA65EF">
        <w:rPr>
          <w:rFonts w:ascii="Verdana" w:eastAsia="Times New Roman" w:hAnsi="Verdana" w:cs="Times New Roman"/>
          <w:color w:val="000000"/>
          <w:sz w:val="23"/>
          <w:szCs w:val="23"/>
          <w:u w:val="single"/>
          <w:lang w:eastAsia="fr-BE"/>
        </w:rPr>
        <w:t>casserole</w:t>
      </w:r>
      <w:r w:rsidRPr="00EA65EF">
        <w:rPr>
          <w:rFonts w:ascii="Verdana" w:eastAsia="Times New Roman" w:hAnsi="Verdana" w:cs="Times New Roman"/>
          <w:color w:val="000000"/>
          <w:sz w:val="23"/>
          <w:szCs w:val="23"/>
          <w:lang w:eastAsia="fr-BE"/>
        </w:rPr>
        <w:t> vaut autour des 900/1000 euros. Compter 1150/1220 euros pour des </w:t>
      </w:r>
      <w:r w:rsidRPr="00EA65EF">
        <w:rPr>
          <w:rFonts w:ascii="Verdana" w:eastAsia="Times New Roman" w:hAnsi="Verdana" w:cs="Times New Roman"/>
          <w:color w:val="000000"/>
          <w:sz w:val="23"/>
          <w:szCs w:val="23"/>
          <w:u w:val="single"/>
          <w:lang w:eastAsia="fr-BE"/>
        </w:rPr>
        <w:t>chutes neuves AG/Dural</w:t>
      </w:r>
      <w:r w:rsidRPr="00EA65EF">
        <w:rPr>
          <w:rFonts w:ascii="Verdana" w:eastAsia="Times New Roman" w:hAnsi="Verdana" w:cs="Times New Roman"/>
          <w:color w:val="000000"/>
          <w:sz w:val="23"/>
          <w:szCs w:val="23"/>
          <w:lang w:eastAsia="fr-BE"/>
        </w:rPr>
        <w:t>.</w:t>
      </w:r>
    </w:p>
    <w:p w14:paraId="14B10D17"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lastRenderedPageBreak/>
        <w:t>En revanche, les belles performances du LME (+50 euros sur une semaine) profitent largement aux belles qualités. A commencer par les </w:t>
      </w:r>
      <w:r w:rsidRPr="00EA65EF">
        <w:rPr>
          <w:rFonts w:ascii="Verdana" w:eastAsia="Times New Roman" w:hAnsi="Verdana" w:cs="Times New Roman"/>
          <w:color w:val="000000"/>
          <w:sz w:val="23"/>
          <w:szCs w:val="23"/>
          <w:u w:val="single"/>
          <w:lang w:eastAsia="fr-BE"/>
        </w:rPr>
        <w:t>profilés AGS</w:t>
      </w:r>
      <w:r w:rsidRPr="00EA65EF">
        <w:rPr>
          <w:rFonts w:ascii="Verdana" w:eastAsia="Times New Roman" w:hAnsi="Verdana" w:cs="Times New Roman"/>
          <w:color w:val="000000"/>
          <w:sz w:val="23"/>
          <w:szCs w:val="23"/>
          <w:lang w:eastAsia="fr-BE"/>
        </w:rPr>
        <w:t> qui progressent dans les mêmes proportions. Les </w:t>
      </w:r>
      <w:r w:rsidRPr="00EA65EF">
        <w:rPr>
          <w:rFonts w:ascii="Verdana" w:eastAsia="Times New Roman" w:hAnsi="Verdana" w:cs="Times New Roman"/>
          <w:color w:val="000000"/>
          <w:sz w:val="23"/>
          <w:szCs w:val="23"/>
          <w:u w:val="single"/>
          <w:lang w:eastAsia="fr-BE"/>
        </w:rPr>
        <w:t>AGS blancs</w:t>
      </w:r>
      <w:r w:rsidRPr="00EA65EF">
        <w:rPr>
          <w:rFonts w:ascii="Verdana" w:eastAsia="Times New Roman" w:hAnsi="Verdana" w:cs="Times New Roman"/>
          <w:color w:val="000000"/>
          <w:sz w:val="23"/>
          <w:szCs w:val="23"/>
          <w:lang w:eastAsia="fr-BE"/>
        </w:rPr>
        <w:t> valent autour des 1950 euros, les couleurs dépassent les 1800 euros et les </w:t>
      </w:r>
      <w:r w:rsidRPr="00EA65EF">
        <w:rPr>
          <w:rFonts w:ascii="Verdana" w:eastAsia="Times New Roman" w:hAnsi="Verdana" w:cs="Times New Roman"/>
          <w:color w:val="000000"/>
          <w:sz w:val="23"/>
          <w:szCs w:val="23"/>
          <w:u w:val="single"/>
          <w:lang w:eastAsia="fr-BE"/>
        </w:rPr>
        <w:t>ponts-thermiques</w:t>
      </w:r>
      <w:r w:rsidRPr="00EA65EF">
        <w:rPr>
          <w:rFonts w:ascii="Verdana" w:eastAsia="Times New Roman" w:hAnsi="Verdana" w:cs="Times New Roman"/>
          <w:color w:val="000000"/>
          <w:sz w:val="23"/>
          <w:szCs w:val="23"/>
          <w:lang w:eastAsia="fr-BE"/>
        </w:rPr>
        <w:t> s’adjugent au-dessus des 1400 euros en Autriche. </w:t>
      </w:r>
      <w:r w:rsidRPr="00EA65EF">
        <w:rPr>
          <w:rFonts w:ascii="Verdana" w:eastAsia="Times New Roman" w:hAnsi="Verdana" w:cs="Times New Roman"/>
          <w:color w:val="000000"/>
          <w:sz w:val="23"/>
          <w:szCs w:val="23"/>
          <w:u w:val="single"/>
          <w:lang w:eastAsia="fr-BE"/>
        </w:rPr>
        <w:t>Offset</w:t>
      </w:r>
      <w:r w:rsidRPr="00EA65EF">
        <w:rPr>
          <w:rFonts w:ascii="Verdana" w:eastAsia="Times New Roman" w:hAnsi="Verdana" w:cs="Times New Roman"/>
          <w:color w:val="000000"/>
          <w:sz w:val="23"/>
          <w:szCs w:val="23"/>
          <w:lang w:eastAsia="fr-BE"/>
        </w:rPr>
        <w:t> et </w:t>
      </w:r>
      <w:proofErr w:type="spellStart"/>
      <w:r w:rsidRPr="00EA65EF">
        <w:rPr>
          <w:rFonts w:ascii="Verdana" w:eastAsia="Times New Roman" w:hAnsi="Verdana" w:cs="Times New Roman"/>
          <w:color w:val="000000"/>
          <w:sz w:val="23"/>
          <w:szCs w:val="23"/>
          <w:u w:val="single"/>
          <w:lang w:eastAsia="fr-BE"/>
        </w:rPr>
        <w:t>almeléc</w:t>
      </w:r>
      <w:proofErr w:type="spellEnd"/>
      <w:r w:rsidRPr="00EA65EF">
        <w:rPr>
          <w:rFonts w:ascii="Verdana" w:eastAsia="Times New Roman" w:hAnsi="Verdana" w:cs="Times New Roman"/>
          <w:color w:val="000000"/>
          <w:sz w:val="23"/>
          <w:szCs w:val="23"/>
          <w:lang w:eastAsia="fr-BE"/>
        </w:rPr>
        <w:t> profitent aussi de cette hausse de Londres.</w:t>
      </w:r>
    </w:p>
    <w:p w14:paraId="674FEF77"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 </w:t>
      </w:r>
    </w:p>
    <w:p w14:paraId="00A28658"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b/>
          <w:bCs/>
          <w:color w:val="A52A2A"/>
          <w:sz w:val="23"/>
          <w:szCs w:val="23"/>
          <w:lang w:eastAsia="fr-BE"/>
        </w:rPr>
        <w:t>Embellie sur le vieux zinc</w:t>
      </w:r>
    </w:p>
    <w:p w14:paraId="760896D6"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Belle progression pour le </w:t>
      </w:r>
      <w:r w:rsidRPr="00EA65EF">
        <w:rPr>
          <w:rFonts w:ascii="Verdana" w:eastAsia="Times New Roman" w:hAnsi="Verdana" w:cs="Times New Roman"/>
          <w:color w:val="000000"/>
          <w:sz w:val="23"/>
          <w:szCs w:val="23"/>
          <w:u w:val="single"/>
          <w:lang w:eastAsia="fr-BE"/>
        </w:rPr>
        <w:t>zinc</w:t>
      </w:r>
      <w:r w:rsidRPr="00EA65EF">
        <w:rPr>
          <w:rFonts w:ascii="Verdana" w:eastAsia="Times New Roman" w:hAnsi="Verdana" w:cs="Times New Roman"/>
          <w:color w:val="000000"/>
          <w:sz w:val="23"/>
          <w:szCs w:val="23"/>
          <w:lang w:eastAsia="fr-BE"/>
        </w:rPr>
        <w:t xml:space="preserve"> dont le cours </w:t>
      </w:r>
      <w:proofErr w:type="spellStart"/>
      <w:r w:rsidRPr="00EA65EF">
        <w:rPr>
          <w:rFonts w:ascii="Verdana" w:eastAsia="Times New Roman" w:hAnsi="Verdana" w:cs="Times New Roman"/>
          <w:color w:val="000000"/>
          <w:sz w:val="23"/>
          <w:szCs w:val="23"/>
          <w:lang w:eastAsia="fr-BE"/>
        </w:rPr>
        <w:t>lowest</w:t>
      </w:r>
      <w:proofErr w:type="spellEnd"/>
      <w:r w:rsidRPr="00EA65EF">
        <w:rPr>
          <w:rFonts w:ascii="Verdana" w:eastAsia="Times New Roman" w:hAnsi="Verdana" w:cs="Times New Roman"/>
          <w:color w:val="000000"/>
          <w:sz w:val="23"/>
          <w:szCs w:val="23"/>
          <w:lang w:eastAsia="fr-BE"/>
        </w:rPr>
        <w:t xml:space="preserve"> gagne une soixantaine d’euros en l’espace d’une semaine. Les usines italiennes reviennent progressivement aux achats et les délais de livraison tendent à diminuer. Si certaines achètent encore juin, d’autres acceptent des livraisons plus rapprochées. Le </w:t>
      </w:r>
      <w:r w:rsidRPr="00EA65EF">
        <w:rPr>
          <w:rFonts w:ascii="Verdana" w:eastAsia="Times New Roman" w:hAnsi="Verdana" w:cs="Times New Roman"/>
          <w:color w:val="000000"/>
          <w:sz w:val="23"/>
          <w:szCs w:val="23"/>
          <w:u w:val="single"/>
          <w:lang w:eastAsia="fr-BE"/>
        </w:rPr>
        <w:t>vieux zinc</w:t>
      </w:r>
      <w:r w:rsidRPr="00EA65EF">
        <w:rPr>
          <w:rFonts w:ascii="Verdana" w:eastAsia="Times New Roman" w:hAnsi="Verdana" w:cs="Times New Roman"/>
          <w:color w:val="000000"/>
          <w:sz w:val="23"/>
          <w:szCs w:val="23"/>
          <w:lang w:eastAsia="fr-BE"/>
        </w:rPr>
        <w:t> vaut 1750 euros.</w:t>
      </w:r>
    </w:p>
    <w:p w14:paraId="428F8AC7"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Le </w:t>
      </w:r>
      <w:r w:rsidRPr="00EA65EF">
        <w:rPr>
          <w:rFonts w:ascii="Verdana" w:eastAsia="Times New Roman" w:hAnsi="Verdana" w:cs="Times New Roman"/>
          <w:color w:val="000000"/>
          <w:sz w:val="23"/>
          <w:szCs w:val="23"/>
          <w:u w:val="single"/>
          <w:lang w:eastAsia="fr-BE"/>
        </w:rPr>
        <w:t>plomb</w:t>
      </w:r>
      <w:r w:rsidRPr="00EA65EF">
        <w:rPr>
          <w:rFonts w:ascii="Verdana" w:eastAsia="Times New Roman" w:hAnsi="Verdana" w:cs="Times New Roman"/>
          <w:color w:val="000000"/>
          <w:sz w:val="23"/>
          <w:szCs w:val="23"/>
          <w:lang w:eastAsia="fr-BE"/>
        </w:rPr>
        <w:t> enregistre une légère progression. Le </w:t>
      </w:r>
      <w:r w:rsidRPr="00EA65EF">
        <w:rPr>
          <w:rFonts w:ascii="Verdana" w:eastAsia="Times New Roman" w:hAnsi="Verdana" w:cs="Times New Roman"/>
          <w:color w:val="000000"/>
          <w:sz w:val="23"/>
          <w:szCs w:val="23"/>
          <w:u w:val="single"/>
          <w:lang w:eastAsia="fr-BE"/>
        </w:rPr>
        <w:t>vieux plomb</w:t>
      </w:r>
      <w:r w:rsidRPr="00EA65EF">
        <w:rPr>
          <w:rFonts w:ascii="Verdana" w:eastAsia="Times New Roman" w:hAnsi="Verdana" w:cs="Times New Roman"/>
          <w:color w:val="000000"/>
          <w:sz w:val="23"/>
          <w:szCs w:val="23"/>
          <w:lang w:eastAsia="fr-BE"/>
        </w:rPr>
        <w:t> vaut autour des 1500 euros, tandis que les </w:t>
      </w:r>
      <w:r w:rsidRPr="00EA65EF">
        <w:rPr>
          <w:rFonts w:ascii="Verdana" w:eastAsia="Times New Roman" w:hAnsi="Verdana" w:cs="Times New Roman"/>
          <w:color w:val="000000"/>
          <w:sz w:val="23"/>
          <w:szCs w:val="23"/>
          <w:u w:val="single"/>
          <w:lang w:eastAsia="fr-BE"/>
        </w:rPr>
        <w:t>batteries</w:t>
      </w:r>
      <w:r w:rsidRPr="00EA65EF">
        <w:rPr>
          <w:rFonts w:ascii="Verdana" w:eastAsia="Times New Roman" w:hAnsi="Verdana" w:cs="Times New Roman"/>
          <w:color w:val="000000"/>
          <w:sz w:val="23"/>
          <w:szCs w:val="23"/>
          <w:lang w:eastAsia="fr-BE"/>
        </w:rPr>
        <w:t> s’adjugent au-dessus des 640 euros.</w:t>
      </w:r>
    </w:p>
    <w:p w14:paraId="17CBBD0D"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Statuquo sur le marché des </w:t>
      </w:r>
      <w:r w:rsidRPr="00EA65EF">
        <w:rPr>
          <w:rFonts w:ascii="Verdana" w:eastAsia="Times New Roman" w:hAnsi="Verdana" w:cs="Times New Roman"/>
          <w:color w:val="000000"/>
          <w:sz w:val="23"/>
          <w:szCs w:val="23"/>
          <w:u w:val="single"/>
          <w:lang w:eastAsia="fr-BE"/>
        </w:rPr>
        <w:t>déchets d’inox</w:t>
      </w:r>
      <w:r w:rsidRPr="00EA65EF">
        <w:rPr>
          <w:rFonts w:ascii="Verdana" w:eastAsia="Times New Roman" w:hAnsi="Verdana" w:cs="Times New Roman"/>
          <w:color w:val="000000"/>
          <w:sz w:val="23"/>
          <w:szCs w:val="23"/>
          <w:lang w:eastAsia="fr-BE"/>
        </w:rPr>
        <w:t>. Compter 1350/1400 euros pour du </w:t>
      </w:r>
      <w:r w:rsidRPr="00EA65EF">
        <w:rPr>
          <w:rFonts w:ascii="Verdana" w:eastAsia="Times New Roman" w:hAnsi="Verdana" w:cs="Times New Roman"/>
          <w:color w:val="000000"/>
          <w:sz w:val="23"/>
          <w:szCs w:val="23"/>
          <w:u w:val="single"/>
          <w:lang w:eastAsia="fr-BE"/>
        </w:rPr>
        <w:t>18/8</w:t>
      </w:r>
      <w:r w:rsidRPr="00EA65EF">
        <w:rPr>
          <w:rFonts w:ascii="Verdana" w:eastAsia="Times New Roman" w:hAnsi="Verdana" w:cs="Times New Roman"/>
          <w:color w:val="000000"/>
          <w:sz w:val="23"/>
          <w:szCs w:val="23"/>
          <w:lang w:eastAsia="fr-BE"/>
        </w:rPr>
        <w:t> ; 1800/1850 euros pour du </w:t>
      </w:r>
      <w:r w:rsidRPr="00EA65EF">
        <w:rPr>
          <w:rFonts w:ascii="Verdana" w:eastAsia="Times New Roman" w:hAnsi="Verdana" w:cs="Times New Roman"/>
          <w:color w:val="000000"/>
          <w:sz w:val="23"/>
          <w:szCs w:val="23"/>
          <w:u w:val="single"/>
          <w:lang w:eastAsia="fr-BE"/>
        </w:rPr>
        <w:t>316</w:t>
      </w:r>
      <w:r w:rsidRPr="00EA65EF">
        <w:rPr>
          <w:rFonts w:ascii="Verdana" w:eastAsia="Times New Roman" w:hAnsi="Verdana" w:cs="Times New Roman"/>
          <w:color w:val="000000"/>
          <w:sz w:val="23"/>
          <w:szCs w:val="23"/>
          <w:lang w:eastAsia="fr-BE"/>
        </w:rPr>
        <w:t>.</w:t>
      </w:r>
    </w:p>
    <w:p w14:paraId="7E205D82" w14:textId="77777777" w:rsidR="00EA65EF" w:rsidRPr="00EA65EF" w:rsidRDefault="00EA65EF" w:rsidP="00EA65EF">
      <w:pPr>
        <w:shd w:val="clear" w:color="auto" w:fill="FFFFFF"/>
        <w:spacing w:before="75" w:after="75" w:line="240" w:lineRule="auto"/>
        <w:jc w:val="both"/>
        <w:rPr>
          <w:rFonts w:ascii="Verdana" w:eastAsia="Times New Roman" w:hAnsi="Verdana" w:cs="Times New Roman"/>
          <w:color w:val="000000"/>
          <w:sz w:val="23"/>
          <w:szCs w:val="23"/>
          <w:lang w:eastAsia="fr-BE"/>
        </w:rPr>
      </w:pPr>
      <w:r w:rsidRPr="00EA65EF">
        <w:rPr>
          <w:rFonts w:ascii="Verdana" w:eastAsia="Times New Roman" w:hAnsi="Verdana" w:cs="Times New Roman"/>
          <w:color w:val="000000"/>
          <w:sz w:val="23"/>
          <w:szCs w:val="23"/>
          <w:lang w:eastAsia="fr-BE"/>
        </w:rPr>
        <w:t> </w:t>
      </w:r>
    </w:p>
    <w:p w14:paraId="4E33E835" w14:textId="77777777" w:rsidR="00834D58" w:rsidRDefault="00834D58"/>
    <w:sectPr w:rsidR="00834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EF"/>
    <w:rsid w:val="00834D58"/>
    <w:rsid w:val="00EA65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6F81"/>
  <w15:chartTrackingRefBased/>
  <w15:docId w15:val="{0DCBB3A6-1B05-454D-A8AD-8A518172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3483</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2021-04-21T05:48:00Z</dcterms:created>
  <dcterms:modified xsi:type="dcterms:W3CDTF">2021-04-21T05:48:00Z</dcterms:modified>
</cp:coreProperties>
</file>